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2C" w:rsidRDefault="00F5142C" w:rsidP="00F5142C">
      <w:pPr>
        <w:pStyle w:val="Titulo1"/>
        <w:pBdr>
          <w:bottom w:val="none" w:sz="0" w:space="0" w:color="auto"/>
        </w:pBdr>
        <w:spacing w:before="0"/>
        <w:jc w:val="center"/>
        <w:rPr>
          <w:rFonts w:ascii="Tahoma" w:hAnsi="Tahoma" w:cs="Tahoma"/>
          <w:color w:val="008000"/>
          <w:sz w:val="22"/>
          <w:szCs w:val="22"/>
        </w:rPr>
      </w:pPr>
      <w:r w:rsidRPr="00030BBF">
        <w:rPr>
          <w:rFonts w:ascii="Tahoma" w:hAnsi="Tahoma" w:cs="Tahoma"/>
          <w:color w:val="008000"/>
          <w:sz w:val="22"/>
          <w:szCs w:val="22"/>
        </w:rPr>
        <w:t>REGLAMENTO DE LA LEY DE OBRAS PÚBLICAS Y SERVICIOS RELACIONADOS CON LAS MISMAS</w:t>
      </w:r>
    </w:p>
    <w:p w:rsidR="00BF66BB" w:rsidRDefault="00BF66BB" w:rsidP="00BF66BB">
      <w:pPr>
        <w:pStyle w:val="Titulo1"/>
        <w:pBdr>
          <w:bottom w:val="none" w:sz="0" w:space="0" w:color="auto"/>
        </w:pBdr>
        <w:spacing w:before="0"/>
        <w:rPr>
          <w:rFonts w:ascii="Tahoma" w:hAnsi="Tahoma" w:cs="Tahoma"/>
          <w:color w:val="008000"/>
          <w:sz w:val="22"/>
          <w:szCs w:val="22"/>
        </w:rPr>
      </w:pPr>
    </w:p>
    <w:p w:rsidR="00871569" w:rsidRDefault="00871569" w:rsidP="00BF66BB">
      <w:pPr>
        <w:pStyle w:val="Titulo1"/>
        <w:pBdr>
          <w:bottom w:val="none" w:sz="0" w:space="0" w:color="auto"/>
        </w:pBdr>
        <w:spacing w:before="0"/>
        <w:rPr>
          <w:rFonts w:ascii="Tahoma" w:hAnsi="Tahoma" w:cs="Tahoma"/>
          <w:color w:val="008000"/>
          <w:sz w:val="22"/>
          <w:szCs w:val="22"/>
        </w:rPr>
      </w:pPr>
    </w:p>
    <w:p w:rsidR="00871569" w:rsidRPr="00871569" w:rsidRDefault="00871569" w:rsidP="00871569">
      <w:pPr>
        <w:spacing w:after="47" w:line="240" w:lineRule="auto"/>
        <w:ind w:firstLine="288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871569">
        <w:rPr>
          <w:rFonts w:ascii="Arial" w:eastAsia="Times New Roman" w:hAnsi="Arial" w:cs="Arial"/>
          <w:b/>
          <w:sz w:val="18"/>
          <w:szCs w:val="24"/>
          <w:lang w:val="es-ES" w:eastAsia="es-ES"/>
        </w:rPr>
        <w:t xml:space="preserve">Artículo 170.- </w:t>
      </w:r>
      <w:r w:rsidRPr="00871569">
        <w:rPr>
          <w:rFonts w:ascii="Arial" w:eastAsia="Times New Roman" w:hAnsi="Arial" w:cs="Arial"/>
          <w:sz w:val="18"/>
          <w:szCs w:val="24"/>
          <w:lang w:val="es-ES" w:eastAsia="es-ES"/>
        </w:rPr>
        <w:t>El documento donde conste el finiquito de los trabajos formará parte del contrato y deberá contener como mínimo lo siguiente:</w:t>
      </w:r>
    </w:p>
    <w:p w:rsidR="00871569" w:rsidRPr="00871569" w:rsidRDefault="00871569" w:rsidP="00871569">
      <w:pPr>
        <w:spacing w:after="47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871569">
        <w:rPr>
          <w:rFonts w:ascii="Arial" w:eastAsia="Times New Roman" w:hAnsi="Arial" w:cs="Arial"/>
          <w:b/>
          <w:sz w:val="18"/>
          <w:szCs w:val="20"/>
          <w:lang w:val="es-ES" w:eastAsia="es-ES"/>
        </w:rPr>
        <w:t>I.</w:t>
      </w:r>
      <w:r w:rsidRPr="00871569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871569">
        <w:rPr>
          <w:rFonts w:ascii="Arial" w:eastAsia="Times New Roman" w:hAnsi="Arial" w:cs="Arial"/>
          <w:sz w:val="18"/>
          <w:szCs w:val="20"/>
          <w:lang w:val="es-ES" w:eastAsia="es-ES"/>
        </w:rPr>
        <w:t>Lugar, fecha y hora en que se realice;</w:t>
      </w:r>
    </w:p>
    <w:p w:rsidR="00871569" w:rsidRPr="00871569" w:rsidRDefault="00871569" w:rsidP="00871569">
      <w:pPr>
        <w:spacing w:after="47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871569">
        <w:rPr>
          <w:rFonts w:ascii="Arial" w:eastAsia="Times New Roman" w:hAnsi="Arial" w:cs="Arial"/>
          <w:b/>
          <w:sz w:val="18"/>
          <w:szCs w:val="20"/>
          <w:lang w:val="es-ES" w:eastAsia="es-ES"/>
        </w:rPr>
        <w:t>II.</w:t>
      </w:r>
      <w:r w:rsidRPr="00871569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871569">
        <w:rPr>
          <w:rFonts w:ascii="Arial" w:eastAsia="Times New Roman" w:hAnsi="Arial" w:cs="Arial"/>
          <w:sz w:val="18"/>
          <w:szCs w:val="20"/>
          <w:lang w:val="es-ES" w:eastAsia="es-ES"/>
        </w:rPr>
        <w:t>Nombre y firma del residente y, en su caso, del supervisor de los trabajos por parte de la dependencia o entidad y del superintendente por parte del contratista;</w:t>
      </w:r>
    </w:p>
    <w:p w:rsidR="00871569" w:rsidRPr="00871569" w:rsidRDefault="00871569" w:rsidP="00871569">
      <w:pPr>
        <w:spacing w:after="47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871569">
        <w:rPr>
          <w:rFonts w:ascii="Arial" w:eastAsia="Times New Roman" w:hAnsi="Arial" w:cs="Arial"/>
          <w:b/>
          <w:sz w:val="18"/>
          <w:szCs w:val="20"/>
          <w:lang w:val="es-ES" w:eastAsia="es-ES"/>
        </w:rPr>
        <w:t>III.</w:t>
      </w:r>
      <w:r w:rsidRPr="00871569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871569">
        <w:rPr>
          <w:rFonts w:ascii="Arial" w:eastAsia="Times New Roman" w:hAnsi="Arial" w:cs="Arial"/>
          <w:sz w:val="18"/>
          <w:szCs w:val="20"/>
          <w:lang w:val="es-ES" w:eastAsia="es-ES"/>
        </w:rPr>
        <w:t>Descripción de los trabajos y de los datos que se consideren relevantes del contrato correspondiente;</w:t>
      </w:r>
    </w:p>
    <w:p w:rsidR="00871569" w:rsidRPr="00871569" w:rsidRDefault="00871569" w:rsidP="00871569">
      <w:pPr>
        <w:spacing w:after="47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871569">
        <w:rPr>
          <w:rFonts w:ascii="Arial" w:eastAsia="Times New Roman" w:hAnsi="Arial" w:cs="Arial"/>
          <w:b/>
          <w:sz w:val="18"/>
          <w:szCs w:val="20"/>
          <w:lang w:val="es-ES" w:eastAsia="es-ES"/>
        </w:rPr>
        <w:t>IV.</w:t>
      </w:r>
      <w:r w:rsidRPr="00871569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871569">
        <w:rPr>
          <w:rFonts w:ascii="Arial" w:eastAsia="Times New Roman" w:hAnsi="Arial" w:cs="Arial"/>
          <w:sz w:val="18"/>
          <w:szCs w:val="20"/>
          <w:lang w:val="es-ES" w:eastAsia="es-ES"/>
        </w:rPr>
        <w:t>Importe contractual y real del contrato, el cual deberá incluir los volúmenes realmente ejecutados de acuerdo al contrato y a los convenios celebrados;</w:t>
      </w:r>
    </w:p>
    <w:p w:rsidR="00871569" w:rsidRPr="00871569" w:rsidRDefault="00871569" w:rsidP="00871569">
      <w:pPr>
        <w:spacing w:after="47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871569">
        <w:rPr>
          <w:rFonts w:ascii="Arial" w:eastAsia="Times New Roman" w:hAnsi="Arial" w:cs="Arial"/>
          <w:b/>
          <w:sz w:val="18"/>
          <w:szCs w:val="20"/>
          <w:lang w:val="es-ES" w:eastAsia="es-ES"/>
        </w:rPr>
        <w:t>V.</w:t>
      </w:r>
      <w:r w:rsidRPr="00871569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871569">
        <w:rPr>
          <w:rFonts w:ascii="Arial" w:eastAsia="Times New Roman" w:hAnsi="Arial" w:cs="Arial"/>
          <w:sz w:val="18"/>
          <w:szCs w:val="20"/>
          <w:lang w:val="es-ES" w:eastAsia="es-ES"/>
        </w:rPr>
        <w:t>Periodo de ejecución de los trabajos, precisando la fecha de inicio y terminación contractual y el plazo en que realmente se ejecutaron, incluyendo los convenios;</w:t>
      </w:r>
    </w:p>
    <w:p w:rsidR="00871569" w:rsidRPr="00871569" w:rsidRDefault="00871569" w:rsidP="00871569">
      <w:pPr>
        <w:spacing w:after="47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871569">
        <w:rPr>
          <w:rFonts w:ascii="Arial" w:eastAsia="Times New Roman" w:hAnsi="Arial" w:cs="Arial"/>
          <w:b/>
          <w:sz w:val="18"/>
          <w:szCs w:val="20"/>
          <w:lang w:val="es-ES" w:eastAsia="es-ES"/>
        </w:rPr>
        <w:t>VI.</w:t>
      </w:r>
      <w:r w:rsidRPr="00871569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871569">
        <w:rPr>
          <w:rFonts w:ascii="Arial" w:eastAsia="Times New Roman" w:hAnsi="Arial" w:cs="Arial"/>
          <w:sz w:val="18"/>
          <w:szCs w:val="20"/>
          <w:lang w:val="es-ES" w:eastAsia="es-ES"/>
        </w:rPr>
        <w:t>Relación de las estimaciones, indicando cómo se ejecutaron los conceptos de trabajo en cada una de ellas y los gastos aprobados, debiendo describir los créditos a favor y en contra de cada una de las partes, señalando los conceptos generales que les dieron origen y su saldo resultante, así como la fecha, lugar y hora en que serán liquidados;</w:t>
      </w:r>
    </w:p>
    <w:p w:rsidR="00871569" w:rsidRPr="00871569" w:rsidRDefault="00871569" w:rsidP="00871569">
      <w:pPr>
        <w:spacing w:after="47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871569">
        <w:rPr>
          <w:rFonts w:ascii="Arial" w:eastAsia="Times New Roman" w:hAnsi="Arial" w:cs="Arial"/>
          <w:b/>
          <w:sz w:val="18"/>
          <w:szCs w:val="20"/>
          <w:lang w:val="es-ES" w:eastAsia="es-ES"/>
        </w:rPr>
        <w:t>VII.</w:t>
      </w:r>
      <w:r w:rsidRPr="00871569">
        <w:rPr>
          <w:rFonts w:ascii="Arial" w:eastAsia="Times New Roman" w:hAnsi="Arial" w:cs="Arial"/>
          <w:sz w:val="18"/>
          <w:szCs w:val="20"/>
          <w:lang w:val="es-ES" w:eastAsia="es-ES"/>
        </w:rPr>
        <w:tab/>
        <w:t>Las razones que justifiquen la aplicación de penas convencionales o del sobrecosto;</w:t>
      </w:r>
    </w:p>
    <w:p w:rsidR="00871569" w:rsidRPr="00871569" w:rsidRDefault="00871569" w:rsidP="00871569">
      <w:pPr>
        <w:spacing w:after="47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871569">
        <w:rPr>
          <w:rFonts w:ascii="Arial" w:eastAsia="Times New Roman" w:hAnsi="Arial" w:cs="Arial"/>
          <w:b/>
          <w:sz w:val="18"/>
          <w:szCs w:val="20"/>
          <w:lang w:val="es-ES" w:eastAsia="es-ES"/>
        </w:rPr>
        <w:t>VIII.</w:t>
      </w:r>
      <w:r w:rsidRPr="00871569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871569">
        <w:rPr>
          <w:rFonts w:ascii="Arial" w:eastAsia="Times New Roman" w:hAnsi="Arial" w:cs="Arial"/>
          <w:sz w:val="18"/>
          <w:szCs w:val="20"/>
          <w:lang w:val="es-ES" w:eastAsia="es-ES"/>
        </w:rPr>
        <w:t>Datos de la estimación final;</w:t>
      </w:r>
    </w:p>
    <w:p w:rsidR="00871569" w:rsidRPr="00871569" w:rsidRDefault="00871569" w:rsidP="00871569">
      <w:pPr>
        <w:spacing w:after="47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871569">
        <w:rPr>
          <w:rFonts w:ascii="Arial" w:eastAsia="Times New Roman" w:hAnsi="Arial" w:cs="Arial"/>
          <w:b/>
          <w:sz w:val="18"/>
          <w:szCs w:val="20"/>
          <w:lang w:val="es-ES" w:eastAsia="es-ES"/>
        </w:rPr>
        <w:t>IX.</w:t>
      </w:r>
      <w:r w:rsidRPr="00871569">
        <w:rPr>
          <w:rFonts w:ascii="Arial" w:eastAsia="Times New Roman" w:hAnsi="Arial" w:cs="Arial"/>
          <w:sz w:val="18"/>
          <w:szCs w:val="20"/>
          <w:lang w:val="es-ES" w:eastAsia="es-ES"/>
        </w:rPr>
        <w:tab/>
        <w:t>Constancia de entrega de la garantía por defectos y vicios ocultos de los trabajos y cualquier otra responsabilidad en que haya incurrido el contratista, y</w:t>
      </w:r>
    </w:p>
    <w:p w:rsidR="00871569" w:rsidRPr="00871569" w:rsidRDefault="00871569" w:rsidP="00871569">
      <w:pPr>
        <w:spacing w:after="47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871569">
        <w:rPr>
          <w:rFonts w:ascii="Arial" w:eastAsia="Times New Roman" w:hAnsi="Arial" w:cs="Arial"/>
          <w:b/>
          <w:sz w:val="18"/>
          <w:szCs w:val="20"/>
          <w:lang w:val="es-ES" w:eastAsia="es-ES"/>
        </w:rPr>
        <w:t>X.</w:t>
      </w:r>
      <w:r w:rsidRPr="00871569">
        <w:rPr>
          <w:rFonts w:ascii="Arial" w:eastAsia="Times New Roman" w:hAnsi="Arial" w:cs="Arial"/>
          <w:sz w:val="18"/>
          <w:szCs w:val="20"/>
          <w:lang w:val="es-ES" w:eastAsia="es-ES"/>
        </w:rPr>
        <w:tab/>
        <w:t>La declaración, en su caso, de que el contratista extiende el más amplio finiquito que en derecho proceda, renunciando a cualquier acción legal que tenga por objeto reclamar cualquier pago relacionado con el contrato.</w:t>
      </w:r>
    </w:p>
    <w:p w:rsidR="00871569" w:rsidRPr="00871569" w:rsidRDefault="00871569" w:rsidP="00871569">
      <w:pPr>
        <w:spacing w:after="47" w:line="240" w:lineRule="auto"/>
        <w:ind w:firstLine="288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871569">
        <w:rPr>
          <w:rFonts w:ascii="Arial" w:eastAsia="Times New Roman" w:hAnsi="Arial" w:cs="Arial"/>
          <w:sz w:val="18"/>
          <w:szCs w:val="24"/>
          <w:lang w:val="es-ES" w:eastAsia="es-ES"/>
        </w:rPr>
        <w:t>Cuando la liquidación de los saldos se realice dentro de los quince días naturales siguientes a la firma del finiquito de los trabajos, el documento a que se refiere este artículo podrá utilizarse como el acta administrativa que extingue los derechos y obligaciones de las partes en el contrato, debiendo agregar únicamente una manifestación de las partes de que no existen otros adeudos, por lo que se dan por terminados los derechos y obligaciones que genera el contrato respectivo, sin derecho a ulterior reclamación. Si no es factible el pago en el término indicado, se procederá a elaborar el acta administrativa prevista en el último párrafo del artículo 64 de la Ley.</w:t>
      </w:r>
    </w:p>
    <w:p w:rsidR="00871569" w:rsidRPr="00871569" w:rsidRDefault="00871569" w:rsidP="00BF66BB">
      <w:pPr>
        <w:pStyle w:val="Titulo1"/>
        <w:pBdr>
          <w:bottom w:val="none" w:sz="0" w:space="0" w:color="auto"/>
        </w:pBdr>
        <w:spacing w:before="0"/>
        <w:rPr>
          <w:rFonts w:ascii="Tahoma" w:hAnsi="Tahoma" w:cs="Tahoma"/>
          <w:color w:val="008000"/>
          <w:sz w:val="22"/>
          <w:szCs w:val="22"/>
          <w:lang w:val="es-ES"/>
        </w:rPr>
      </w:pPr>
      <w:bookmarkStart w:id="0" w:name="_GoBack"/>
      <w:bookmarkEnd w:id="0"/>
    </w:p>
    <w:sectPr w:rsidR="00871569" w:rsidRPr="0087156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2C"/>
    <w:rsid w:val="0001587F"/>
    <w:rsid w:val="00111CA8"/>
    <w:rsid w:val="00142E85"/>
    <w:rsid w:val="00191177"/>
    <w:rsid w:val="002815CE"/>
    <w:rsid w:val="00340F09"/>
    <w:rsid w:val="003428F5"/>
    <w:rsid w:val="003613DA"/>
    <w:rsid w:val="00413DB3"/>
    <w:rsid w:val="00451233"/>
    <w:rsid w:val="00457BE9"/>
    <w:rsid w:val="0046160D"/>
    <w:rsid w:val="00473543"/>
    <w:rsid w:val="00492492"/>
    <w:rsid w:val="00495979"/>
    <w:rsid w:val="004A7A60"/>
    <w:rsid w:val="004D0B31"/>
    <w:rsid w:val="00590C83"/>
    <w:rsid w:val="00594411"/>
    <w:rsid w:val="00604258"/>
    <w:rsid w:val="00624F76"/>
    <w:rsid w:val="006515C0"/>
    <w:rsid w:val="00656A8E"/>
    <w:rsid w:val="00686EE2"/>
    <w:rsid w:val="00692AD0"/>
    <w:rsid w:val="006950E2"/>
    <w:rsid w:val="006F7B91"/>
    <w:rsid w:val="00710059"/>
    <w:rsid w:val="00751FBA"/>
    <w:rsid w:val="00800CAE"/>
    <w:rsid w:val="00832C3B"/>
    <w:rsid w:val="0086444C"/>
    <w:rsid w:val="00871569"/>
    <w:rsid w:val="008F780B"/>
    <w:rsid w:val="00923585"/>
    <w:rsid w:val="00923B5F"/>
    <w:rsid w:val="009719B5"/>
    <w:rsid w:val="00985651"/>
    <w:rsid w:val="009D65BB"/>
    <w:rsid w:val="00AA3E41"/>
    <w:rsid w:val="00AC5949"/>
    <w:rsid w:val="00AD370A"/>
    <w:rsid w:val="00B030C9"/>
    <w:rsid w:val="00B32B83"/>
    <w:rsid w:val="00B51B6E"/>
    <w:rsid w:val="00BF66BB"/>
    <w:rsid w:val="00C77047"/>
    <w:rsid w:val="00C81638"/>
    <w:rsid w:val="00CE5063"/>
    <w:rsid w:val="00D05EE2"/>
    <w:rsid w:val="00D901F2"/>
    <w:rsid w:val="00E063E0"/>
    <w:rsid w:val="00E83FDB"/>
    <w:rsid w:val="00ED7A16"/>
    <w:rsid w:val="00EE42A6"/>
    <w:rsid w:val="00EF4E35"/>
    <w:rsid w:val="00F020DB"/>
    <w:rsid w:val="00F21720"/>
    <w:rsid w:val="00F30E15"/>
    <w:rsid w:val="00F44BD4"/>
    <w:rsid w:val="00F5142C"/>
    <w:rsid w:val="00F719BE"/>
    <w:rsid w:val="00F9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2013-04-12T15:26:00Z</dcterms:created>
  <dcterms:modified xsi:type="dcterms:W3CDTF">2013-04-12T15:26:00Z</dcterms:modified>
</cp:coreProperties>
</file>